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2F8EA1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C91910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CD6AA9">
        <w:rPr>
          <w:bCs/>
          <w:noProof w:val="0"/>
          <w:sz w:val="24"/>
          <w:szCs w:val="24"/>
        </w:rPr>
        <w:t>01005</w:t>
      </w:r>
    </w:p>
    <w:p w14:paraId="11776FA6" w14:textId="5495F784" w:rsidR="00A209D6" w:rsidRPr="00465587" w:rsidRDefault="00C9191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376CD">
        <w:rPr>
          <w:rFonts w:eastAsia="SimSun"/>
          <w:bCs/>
          <w:sz w:val="24"/>
          <w:szCs w:val="24"/>
          <w:lang w:eastAsia="zh-CN"/>
        </w:rPr>
        <w:t>24</w:t>
      </w:r>
      <w:r w:rsidRPr="00CD6AA9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8F3DCD">
        <w:rPr>
          <w:rFonts w:eastAsia="SimSun"/>
          <w:bCs/>
          <w:sz w:val="24"/>
          <w:szCs w:val="24"/>
          <w:lang w:eastAsia="zh-CN"/>
        </w:rPr>
        <w:t>February</w:t>
      </w:r>
      <w:r>
        <w:rPr>
          <w:rFonts w:eastAsia="SimSun"/>
          <w:bCs/>
          <w:sz w:val="24"/>
          <w:szCs w:val="24"/>
          <w:lang w:eastAsia="zh-CN"/>
        </w:rPr>
        <w:t xml:space="preserve"> – 6</w:t>
      </w:r>
      <w:r w:rsidRPr="00CD6AA9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 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84573D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C49D0">
        <w:rPr>
          <w:rFonts w:cs="Arial"/>
          <w:b/>
          <w:bCs/>
          <w:sz w:val="24"/>
          <w:lang w:eastAsia="ja-JP"/>
        </w:rPr>
        <w:t>6.9.4</w:t>
      </w:r>
      <w:r w:rsidR="00CD6AA9">
        <w:rPr>
          <w:rFonts w:cs="Arial"/>
          <w:b/>
          <w:bCs/>
          <w:sz w:val="24"/>
          <w:lang w:eastAsia="ja-JP"/>
        </w:rPr>
        <w:t>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FB99EF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B32C1">
        <w:rPr>
          <w:rFonts w:ascii="Arial" w:hAnsi="Arial" w:cs="Arial"/>
          <w:b/>
          <w:bCs/>
          <w:sz w:val="24"/>
        </w:rPr>
        <w:t>MN</w:t>
      </w:r>
      <w:r w:rsidR="00886BCD">
        <w:rPr>
          <w:rFonts w:ascii="Arial" w:hAnsi="Arial" w:cs="Arial"/>
          <w:b/>
          <w:bCs/>
          <w:sz w:val="24"/>
        </w:rPr>
        <w:t>-initiated</w:t>
      </w:r>
      <w:r w:rsidR="004B32C1">
        <w:rPr>
          <w:rFonts w:ascii="Arial" w:hAnsi="Arial" w:cs="Arial"/>
          <w:b/>
          <w:bCs/>
          <w:sz w:val="24"/>
        </w:rPr>
        <w:t xml:space="preserve"> Reconfigurations during conditional </w:t>
      </w:r>
      <w:proofErr w:type="spellStart"/>
      <w:r w:rsidR="004B32C1">
        <w:rPr>
          <w:rFonts w:ascii="Arial" w:hAnsi="Arial" w:cs="Arial"/>
          <w:b/>
          <w:bCs/>
          <w:sz w:val="24"/>
        </w:rPr>
        <w:t>PSCell</w:t>
      </w:r>
      <w:proofErr w:type="spellEnd"/>
      <w:r w:rsidR="004B32C1">
        <w:rPr>
          <w:rFonts w:ascii="Arial" w:hAnsi="Arial" w:cs="Arial"/>
          <w:b/>
          <w:bCs/>
          <w:sz w:val="24"/>
        </w:rPr>
        <w:t xml:space="preserve"> change</w:t>
      </w:r>
    </w:p>
    <w:p w14:paraId="1F147C23" w14:textId="78F8AD9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11A74" w:rsidRPr="00411A74">
        <w:rPr>
          <w:rFonts w:ascii="Arial" w:hAnsi="Arial" w:cs="Arial"/>
          <w:b/>
          <w:bCs/>
          <w:sz w:val="24"/>
        </w:rPr>
        <w:t>NR_Mob_enh</w:t>
      </w:r>
      <w:proofErr w:type="spellEnd"/>
      <w:r w:rsidR="00411A74" w:rsidRPr="00411A74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11A74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68FC801" w14:textId="68694D26" w:rsidR="005A7BD5" w:rsidRDefault="00D05555" w:rsidP="005A7BD5">
      <w:r>
        <w:t xml:space="preserve">RAN2 </w:t>
      </w:r>
      <w:r w:rsidR="00411A74">
        <w:t xml:space="preserve">is focused on specifying the SN-initiated </w:t>
      </w:r>
      <w:proofErr w:type="spellStart"/>
      <w:r w:rsidR="00411A74">
        <w:t>PSCell</w:t>
      </w:r>
      <w:proofErr w:type="spellEnd"/>
      <w:r w:rsidR="00411A74">
        <w:t xml:space="preserve"> change as a part of Rel-16 WI on Mobility enhancements in NR. In the course of </w:t>
      </w:r>
      <w:r w:rsidR="00411A74" w:rsidRPr="00411A74">
        <w:t xml:space="preserve">[108#67][NR Mob] </w:t>
      </w:r>
      <w:r w:rsidR="00411A74">
        <w:t xml:space="preserve">e-mail discussion (report available in </w:t>
      </w:r>
      <w:r w:rsidR="00411A74">
        <w:fldChar w:fldCharType="begin"/>
      </w:r>
      <w:r w:rsidR="00411A74">
        <w:instrText xml:space="preserve"> REF _Ref31103287 \r \h </w:instrText>
      </w:r>
      <w:r w:rsidR="00411A74">
        <w:fldChar w:fldCharType="separate"/>
      </w:r>
      <w:r w:rsidR="00411A74">
        <w:t>[1]</w:t>
      </w:r>
      <w:r w:rsidR="00411A74">
        <w:fldChar w:fldCharType="end"/>
      </w:r>
      <w:r w:rsidR="00411A74">
        <w:t xml:space="preserve">) it was considered how to handle possible reconfigurations sent by the MN while the UE is prepared with CPC or already executing such </w:t>
      </w:r>
      <w:proofErr w:type="spellStart"/>
      <w:r w:rsidR="00411A74">
        <w:t>PSCell</w:t>
      </w:r>
      <w:proofErr w:type="spellEnd"/>
      <w:r w:rsidR="00411A74">
        <w:t xml:space="preserve"> change. This paper </w:t>
      </w:r>
      <w:r w:rsidR="00AC49D0">
        <w:t>provides our further thoughts on this topic.</w:t>
      </w:r>
    </w:p>
    <w:p w14:paraId="4AC342BE" w14:textId="74C34C06" w:rsidR="00466334" w:rsidRPr="006E13D1" w:rsidRDefault="00466334" w:rsidP="00466334">
      <w:pPr>
        <w:pStyle w:val="Heading1"/>
      </w:pPr>
      <w:r>
        <w:t>2</w:t>
      </w:r>
      <w:r w:rsidRPr="006E13D1">
        <w:tab/>
      </w:r>
      <w:r w:rsidR="00F3750E">
        <w:t>MN Reconfiguration during legacy</w:t>
      </w:r>
      <w:r>
        <w:t xml:space="preserve"> </w:t>
      </w:r>
      <w:proofErr w:type="spellStart"/>
      <w:r>
        <w:t>PSCell</w:t>
      </w:r>
      <w:proofErr w:type="spellEnd"/>
      <w:r>
        <w:t xml:space="preserve"> change</w:t>
      </w:r>
    </w:p>
    <w:p w14:paraId="3FE43E67" w14:textId="2566FB34" w:rsidR="00466334" w:rsidRDefault="00466334" w:rsidP="00466334">
      <w:r>
        <w:t xml:space="preserve">Before discussing conditional </w:t>
      </w:r>
      <w:proofErr w:type="spellStart"/>
      <w:r>
        <w:t>PSCell</w:t>
      </w:r>
      <w:proofErr w:type="spellEnd"/>
      <w:r>
        <w:t xml:space="preserve"> change (CPC), let us look at the legacy (i.e. non-conditional) </w:t>
      </w:r>
      <w:proofErr w:type="spellStart"/>
      <w:r>
        <w:t>PSCell</w:t>
      </w:r>
      <w:proofErr w:type="spellEnd"/>
      <w:r>
        <w:t xml:space="preserve"> change without MN involvement (i.e. intra-SN </w:t>
      </w:r>
      <w:proofErr w:type="spellStart"/>
      <w:r>
        <w:t>PSCell</w:t>
      </w:r>
      <w:proofErr w:type="spellEnd"/>
      <w:r>
        <w:t xml:space="preserve"> handover). We observe, that even though the </w:t>
      </w:r>
      <w:r w:rsidR="00055AB8">
        <w:t>M</w:t>
      </w:r>
      <w:bookmarkStart w:id="0" w:name="_GoBack"/>
      <w:bookmarkEnd w:id="0"/>
      <w:r>
        <w:t>N is not involved, a</w:t>
      </w:r>
      <w:r w:rsidR="00F62E3B">
        <w:t>n</w:t>
      </w:r>
      <w:r>
        <w:t xml:space="preserve"> “SN initiated SN modification” procedure is required when</w:t>
      </w:r>
      <w:r w:rsidR="00031164">
        <w:t>:</w:t>
      </w:r>
    </w:p>
    <w:p w14:paraId="323AC4EB" w14:textId="77777777" w:rsidR="00466334" w:rsidRDefault="00466334" w:rsidP="00466334">
      <w:pPr>
        <w:pStyle w:val="ListParagraph"/>
        <w:numPr>
          <w:ilvl w:val="0"/>
          <w:numId w:val="12"/>
        </w:numPr>
      </w:pPr>
      <w:r>
        <w:t>An MN terminated SCG or split bearer is involved</w:t>
      </w:r>
    </w:p>
    <w:p w14:paraId="13A13A80" w14:textId="77777777" w:rsidR="00466334" w:rsidRDefault="00466334" w:rsidP="00466334">
      <w:pPr>
        <w:pStyle w:val="ListParagraph"/>
        <w:numPr>
          <w:ilvl w:val="0"/>
          <w:numId w:val="12"/>
        </w:numPr>
      </w:pPr>
      <w:r>
        <w:t>When location information is required</w:t>
      </w:r>
    </w:p>
    <w:p w14:paraId="2B4DECC9" w14:textId="61742CC9" w:rsidR="00466334" w:rsidRDefault="00466334" w:rsidP="00466334">
      <w:r>
        <w:t xml:space="preserve">The figure below assumes that an SN Modification is required due to one of these reasons. Note that source </w:t>
      </w:r>
      <w:proofErr w:type="spellStart"/>
      <w:r>
        <w:t>PSCell</w:t>
      </w:r>
      <w:proofErr w:type="spellEnd"/>
      <w:r>
        <w:t xml:space="preserve">, target </w:t>
      </w:r>
      <w:proofErr w:type="spellStart"/>
      <w:r>
        <w:t>PS</w:t>
      </w:r>
      <w:r w:rsidR="003F76A5">
        <w:t>C</w:t>
      </w:r>
      <w:r>
        <w:t>ell</w:t>
      </w:r>
      <w:proofErr w:type="spellEnd"/>
      <w:r>
        <w:t xml:space="preserve"> and other potential T-</w:t>
      </w:r>
      <w:proofErr w:type="spellStart"/>
      <w:r>
        <w:t>PSCell</w:t>
      </w:r>
      <w:proofErr w:type="spellEnd"/>
      <w:r>
        <w:t xml:space="preserve"> are inside the same SN and thus only have a single X2/</w:t>
      </w:r>
      <w:proofErr w:type="spellStart"/>
      <w:r>
        <w:t>Xn</w:t>
      </w:r>
      <w:proofErr w:type="spellEnd"/>
      <w:r>
        <w:t xml:space="preserve"> interface to the MN. We have terminated the S2/</w:t>
      </w:r>
      <w:proofErr w:type="spellStart"/>
      <w:r>
        <w:t>Xn</w:t>
      </w:r>
      <w:proofErr w:type="spellEnd"/>
      <w:r>
        <w:t xml:space="preserve"> messages always in the S-</w:t>
      </w:r>
      <w:proofErr w:type="spellStart"/>
      <w:r>
        <w:t>PSCell</w:t>
      </w:r>
      <w:proofErr w:type="spellEnd"/>
      <w:r>
        <w:t xml:space="preserve"> representatively.</w:t>
      </w:r>
    </w:p>
    <w:p w14:paraId="27BE3C05" w14:textId="3695A003" w:rsidR="00466334" w:rsidRDefault="004B32C1" w:rsidP="00CD6AA9">
      <w:pPr>
        <w:jc w:val="center"/>
      </w:pPr>
      <w:r>
        <w:object w:dxaOrig="11964" w:dyaOrig="6252" w14:anchorId="79EDBC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5pt;height:186pt" o:ole="">
            <v:imagedata r:id="rId13" o:title=""/>
          </v:shape>
          <o:OLEObject Type="Embed" ProgID="Mscgen.Chart" ShapeID="_x0000_i1025" DrawAspect="Content" ObjectID="_1643171387" r:id="rId14"/>
        </w:object>
      </w:r>
    </w:p>
    <w:p w14:paraId="7DCFA817" w14:textId="7B51F069" w:rsidR="00A04ED4" w:rsidRDefault="00466334" w:rsidP="00466334">
      <w:r>
        <w:t xml:space="preserve">An important observation is that already the legacy procedure has some uncertainty. After </w:t>
      </w:r>
      <w:r w:rsidR="004B32C1">
        <w:t>the UE has received</w:t>
      </w:r>
      <w:r>
        <w:t xml:space="preserve"> the </w:t>
      </w:r>
      <w:proofErr w:type="spellStart"/>
      <w:r w:rsidRPr="00DD7E81">
        <w:rPr>
          <w:i/>
          <w:iCs/>
        </w:rPr>
        <w:t>RRCConnectionReconfiguration</w:t>
      </w:r>
      <w:proofErr w:type="spellEnd"/>
      <w:r w:rsidR="003F76A5">
        <w:t xml:space="preserve"> (in step 2 shown above)</w:t>
      </w:r>
      <w:r>
        <w:t xml:space="preserve">, the MN may </w:t>
      </w:r>
      <w:r w:rsidR="004B32C1">
        <w:t xml:space="preserve">decide </w:t>
      </w:r>
      <w:r w:rsidR="00DD7E81">
        <w:t>to also</w:t>
      </w:r>
      <w:r w:rsidR="004B32C1">
        <w:t xml:space="preserve"> </w:t>
      </w:r>
      <w:r>
        <w:t xml:space="preserve">send </w:t>
      </w:r>
      <w:proofErr w:type="spellStart"/>
      <w:r w:rsidRPr="00DD7E81">
        <w:rPr>
          <w:i/>
          <w:iCs/>
        </w:rPr>
        <w:t>RRCConnectionReconfiguration</w:t>
      </w:r>
      <w:proofErr w:type="spellEnd"/>
      <w:r>
        <w:t xml:space="preserve"> to the UE</w:t>
      </w:r>
      <w:r w:rsidR="004B32C1">
        <w:t xml:space="preserve"> affecting the SCG</w:t>
      </w:r>
      <w:r>
        <w:t xml:space="preserve">, e.g. </w:t>
      </w:r>
      <w:r w:rsidR="004B32C1">
        <w:t>a</w:t>
      </w:r>
      <w:r w:rsidR="003F76A5">
        <w:t>n</w:t>
      </w:r>
      <w:r>
        <w:t xml:space="preserve"> MN handover</w:t>
      </w:r>
      <w:r w:rsidR="004B32C1">
        <w:t xml:space="preserve"> or a bearer reconfiguration</w:t>
      </w:r>
      <w:r>
        <w:t xml:space="preserve">. </w:t>
      </w:r>
      <w:r w:rsidR="00FF5008">
        <w:t xml:space="preserve">Note that in such case, the MN has to agree the reconfiguration with the SN either via “MN initiated SN Modification” or via “HO REQUEST”, which is not shown here. </w:t>
      </w:r>
      <w:r w:rsidR="00A04ED4">
        <w:t>Possible reactions are:</w:t>
      </w:r>
    </w:p>
    <w:p w14:paraId="23C42384" w14:textId="2BA69949" w:rsidR="00A04ED4" w:rsidRDefault="00A04ED4" w:rsidP="00A04ED4">
      <w:pPr>
        <w:pStyle w:val="ListParagraph"/>
        <w:numPr>
          <w:ilvl w:val="0"/>
          <w:numId w:val="15"/>
        </w:numPr>
      </w:pPr>
      <w:r>
        <w:t xml:space="preserve">The UE completes the execution of the </w:t>
      </w:r>
      <w:proofErr w:type="spellStart"/>
      <w:r>
        <w:t>PSCell</w:t>
      </w:r>
      <w:proofErr w:type="spellEnd"/>
      <w:r>
        <w:t xml:space="preserve"> change, and executes the MN reconfiguration afterwards (i.e. it stores the MN reconfiguration)</w:t>
      </w:r>
    </w:p>
    <w:p w14:paraId="31535E76" w14:textId="194BA4DA" w:rsidR="00A04ED4" w:rsidRDefault="00A04ED4" w:rsidP="00A04ED4">
      <w:pPr>
        <w:pStyle w:val="ListParagraph"/>
        <w:numPr>
          <w:ilvl w:val="0"/>
          <w:numId w:val="15"/>
        </w:numPr>
      </w:pPr>
      <w:r>
        <w:t xml:space="preserve">The UE completes the execution of the </w:t>
      </w:r>
      <w:proofErr w:type="spellStart"/>
      <w:r>
        <w:t>PSCell</w:t>
      </w:r>
      <w:proofErr w:type="spellEnd"/>
      <w:r>
        <w:t xml:space="preserve"> change, and discards/ignores the MN reconfiguration.</w:t>
      </w:r>
    </w:p>
    <w:p w14:paraId="06000748" w14:textId="16A14AC5" w:rsidR="00A04ED4" w:rsidRDefault="00A04ED4" w:rsidP="00A04ED4">
      <w:pPr>
        <w:pStyle w:val="ListParagraph"/>
        <w:numPr>
          <w:ilvl w:val="0"/>
          <w:numId w:val="15"/>
        </w:numPr>
      </w:pPr>
      <w:r>
        <w:lastRenderedPageBreak/>
        <w:t xml:space="preserve">The UE stops the </w:t>
      </w:r>
      <w:proofErr w:type="spellStart"/>
      <w:r>
        <w:t>PSCell</w:t>
      </w:r>
      <w:proofErr w:type="spellEnd"/>
      <w:r>
        <w:t xml:space="preserve"> change and executes the MN reconfiguration</w:t>
      </w:r>
    </w:p>
    <w:p w14:paraId="44BE2502" w14:textId="5A04D40C" w:rsidR="00A04ED4" w:rsidRDefault="00A04ED4" w:rsidP="00A04ED4">
      <w:pPr>
        <w:pStyle w:val="ListParagraph"/>
        <w:numPr>
          <w:ilvl w:val="0"/>
          <w:numId w:val="15"/>
        </w:numPr>
      </w:pPr>
      <w:r>
        <w:t xml:space="preserve">The UE completes the execution of the </w:t>
      </w:r>
      <w:proofErr w:type="spellStart"/>
      <w:r>
        <w:t>PSCell</w:t>
      </w:r>
      <w:proofErr w:type="spellEnd"/>
      <w:r>
        <w:t xml:space="preserve"> change and executes the MN reconfiguration in parallel</w:t>
      </w:r>
    </w:p>
    <w:p w14:paraId="48115060" w14:textId="5DB2C369" w:rsidR="00466334" w:rsidRDefault="00A04ED4" w:rsidP="00466334">
      <w:r>
        <w:t>Following the paradigm</w:t>
      </w:r>
      <w:r w:rsidR="00466334">
        <w:t xml:space="preserve"> that the UE shall process </w:t>
      </w:r>
      <w:r w:rsidR="00164F63">
        <w:t>RRC r</w:t>
      </w:r>
      <w:r w:rsidR="00466334">
        <w:t xml:space="preserve">econfigurations in the order of their arrival, </w:t>
      </w:r>
      <w:r w:rsidR="00164F63">
        <w:t xml:space="preserve">option 1 is the most likely UE implementation, </w:t>
      </w:r>
      <w:r w:rsidR="00466334">
        <w:t>i.e. it receive</w:t>
      </w:r>
      <w:r w:rsidR="00164F63">
        <w:t>s</w:t>
      </w:r>
      <w:r w:rsidR="00466334">
        <w:t xml:space="preserve"> </w:t>
      </w:r>
      <w:r w:rsidR="00164F63">
        <w:t>the MN</w:t>
      </w:r>
      <w:r w:rsidR="00466334">
        <w:t xml:space="preserve"> reconfiguration, but it will not process it until the reconfiguration from the SN is completed, i.e. the </w:t>
      </w:r>
      <w:proofErr w:type="spellStart"/>
      <w:r w:rsidR="00466334">
        <w:t>PSCell</w:t>
      </w:r>
      <w:proofErr w:type="spellEnd"/>
      <w:r w:rsidR="00466334">
        <w:t xml:space="preserve"> change is completed.</w:t>
      </w:r>
    </w:p>
    <w:p w14:paraId="30AC6FE1" w14:textId="5A496F75" w:rsidR="00466334" w:rsidRDefault="00164F63" w:rsidP="00466334">
      <w:r>
        <w:t>T</w:t>
      </w:r>
      <w:r w:rsidR="00466334">
        <w:t xml:space="preserve">his behaviour </w:t>
      </w:r>
      <w:r>
        <w:t>may not be</w:t>
      </w:r>
      <w:r w:rsidR="00466334">
        <w:t xml:space="preserve"> optimal, since</w:t>
      </w:r>
      <w:r>
        <w:t>, in case of MN handover,</w:t>
      </w:r>
      <w:r w:rsidR="00466334">
        <w:t xml:space="preserve"> the MN </w:t>
      </w:r>
      <w:r>
        <w:t xml:space="preserve">will </w:t>
      </w:r>
      <w:r w:rsidR="00466334">
        <w:t>stop transmission to/from the UE as soon as it sends out the handover command</w:t>
      </w:r>
      <w:r w:rsidR="008970F9">
        <w:t xml:space="preserve"> which results in an unnecessary gap of the MN transmission.</w:t>
      </w:r>
      <w:r w:rsidR="00FF5008">
        <w:t xml:space="preserve"> However, this gap will be rather small.</w:t>
      </w:r>
    </w:p>
    <w:p w14:paraId="6A63A2A9" w14:textId="4B4A7CFD" w:rsidR="00FF5008" w:rsidRPr="00A733FF" w:rsidRDefault="00FF5008" w:rsidP="3CE7D40C">
      <w:pPr>
        <w:rPr>
          <w:b/>
          <w:bCs/>
        </w:rPr>
      </w:pPr>
      <w:r w:rsidRPr="3CE7D40C">
        <w:rPr>
          <w:b/>
          <w:bCs/>
        </w:rPr>
        <w:t>Observation 1: An MN</w:t>
      </w:r>
      <w:r w:rsidR="003F76A5" w:rsidRPr="3CE7D40C">
        <w:rPr>
          <w:b/>
          <w:bCs/>
        </w:rPr>
        <w:t>-initiated</w:t>
      </w:r>
      <w:r w:rsidRPr="3CE7D40C">
        <w:rPr>
          <w:b/>
          <w:bCs/>
        </w:rPr>
        <w:t xml:space="preserve"> Reconfiguration received during execution of a </w:t>
      </w:r>
      <w:proofErr w:type="spellStart"/>
      <w:r w:rsidRPr="3CE7D40C">
        <w:rPr>
          <w:b/>
          <w:bCs/>
        </w:rPr>
        <w:t>PSCell</w:t>
      </w:r>
      <w:proofErr w:type="spellEnd"/>
      <w:r w:rsidRPr="3CE7D40C">
        <w:rPr>
          <w:b/>
          <w:bCs/>
        </w:rPr>
        <w:t xml:space="preserve"> change will </w:t>
      </w:r>
      <w:r w:rsidR="00242EC2" w:rsidRPr="3CE7D40C">
        <w:rPr>
          <w:b/>
          <w:bCs/>
        </w:rPr>
        <w:t xml:space="preserve">likely </w:t>
      </w:r>
      <w:r w:rsidRPr="3CE7D40C">
        <w:rPr>
          <w:b/>
          <w:bCs/>
        </w:rPr>
        <w:t xml:space="preserve">be executed </w:t>
      </w:r>
      <w:r w:rsidR="00242EC2" w:rsidRPr="3CE7D40C">
        <w:rPr>
          <w:b/>
          <w:bCs/>
        </w:rPr>
        <w:t xml:space="preserve">only </w:t>
      </w:r>
      <w:r w:rsidRPr="3CE7D40C">
        <w:rPr>
          <w:b/>
          <w:bCs/>
        </w:rPr>
        <w:t xml:space="preserve">after completion of the </w:t>
      </w:r>
      <w:proofErr w:type="spellStart"/>
      <w:r w:rsidRPr="3CE7D40C">
        <w:rPr>
          <w:b/>
          <w:bCs/>
        </w:rPr>
        <w:t>PSCell</w:t>
      </w:r>
      <w:proofErr w:type="spellEnd"/>
      <w:r w:rsidRPr="3CE7D40C">
        <w:rPr>
          <w:b/>
          <w:bCs/>
        </w:rPr>
        <w:t xml:space="preserve"> change.</w:t>
      </w:r>
    </w:p>
    <w:p w14:paraId="65308CC8" w14:textId="35F8E626" w:rsidR="00FF5008" w:rsidRDefault="00F3750E" w:rsidP="00F3750E">
      <w:pPr>
        <w:pStyle w:val="Heading1"/>
      </w:pPr>
      <w:r>
        <w:t>3</w:t>
      </w:r>
      <w:r w:rsidRPr="006E13D1">
        <w:tab/>
      </w:r>
      <w:r>
        <w:t xml:space="preserve">MN Reconfiguration during conditional </w:t>
      </w:r>
      <w:proofErr w:type="spellStart"/>
      <w:r>
        <w:t>PSCell</w:t>
      </w:r>
      <w:proofErr w:type="spellEnd"/>
      <w:r>
        <w:t xml:space="preserve"> change</w:t>
      </w:r>
      <w:r w:rsidR="00DD7E81">
        <w:t xml:space="preserve"> (CPC)</w:t>
      </w:r>
    </w:p>
    <w:p w14:paraId="24D496B8" w14:textId="1234E51E" w:rsidR="008970F9" w:rsidRDefault="00466334" w:rsidP="00466334">
      <w:r>
        <w:t>Now we will look at the conditional version of that.</w:t>
      </w:r>
      <w:r w:rsidR="00B6030B">
        <w:t xml:space="preserve"> T</w:t>
      </w:r>
      <w:r w:rsidR="008970F9">
        <w:t>he figure</w:t>
      </w:r>
      <w:r w:rsidR="00FF5008">
        <w:t xml:space="preserve"> below</w:t>
      </w:r>
      <w:r w:rsidR="008970F9">
        <w:t xml:space="preserve"> extend</w:t>
      </w:r>
      <w:r w:rsidR="00B6030B">
        <w:t>s</w:t>
      </w:r>
      <w:r w:rsidR="008970F9">
        <w:t xml:space="preserve"> the </w:t>
      </w:r>
      <w:proofErr w:type="spellStart"/>
      <w:r w:rsidR="008970F9">
        <w:t>PSCell</w:t>
      </w:r>
      <w:proofErr w:type="spellEnd"/>
      <w:r w:rsidR="008970F9">
        <w:t xml:space="preserve"> change to CPC. Main difference is that there is additional, uncertain time between receiving the reconfiguration and the random access. </w:t>
      </w:r>
    </w:p>
    <w:p w14:paraId="56BE7E4B" w14:textId="5772DB9F" w:rsidR="00466334" w:rsidRDefault="00190E22" w:rsidP="00466334">
      <w:r>
        <w:object w:dxaOrig="13944" w:dyaOrig="7200" w14:anchorId="3065C1A9">
          <v:shape id="_x0000_i1026" type="#_x0000_t75" style="width:415.5pt;height:215pt" o:ole="">
            <v:imagedata r:id="rId15" o:title=""/>
          </v:shape>
          <o:OLEObject Type="Embed" ProgID="Mscgen.Chart" ShapeID="_x0000_i1026" DrawAspect="Content" ObjectID="_1643171388" r:id="rId16"/>
        </w:object>
      </w:r>
    </w:p>
    <w:p w14:paraId="6E2E5EC6" w14:textId="7E2374D2" w:rsidR="00F3750E" w:rsidRDefault="00F3750E" w:rsidP="00F3750E">
      <w:pPr>
        <w:pStyle w:val="Heading2"/>
      </w:pPr>
      <w:r>
        <w:t>3</w:t>
      </w:r>
      <w:r w:rsidRPr="006E13D1">
        <w:t>.</w:t>
      </w:r>
      <w:r>
        <w:t>1</w:t>
      </w:r>
      <w:r w:rsidRPr="006E13D1">
        <w:tab/>
      </w:r>
      <w:r>
        <w:t xml:space="preserve">MN Reconfiguration </w:t>
      </w:r>
      <w:r w:rsidRPr="00DD7E81">
        <w:rPr>
          <w:u w:val="single"/>
        </w:rPr>
        <w:t>after</w:t>
      </w:r>
      <w:r>
        <w:t xml:space="preserve"> CPC condition triggers</w:t>
      </w:r>
    </w:p>
    <w:p w14:paraId="4394CC3A" w14:textId="6D130922" w:rsidR="0092143D" w:rsidRDefault="0092143D" w:rsidP="00466334">
      <w:r>
        <w:t>We will distinguish two cases: in the first case, the MN reconfiguration is received during CPC execution, i.e. AFTER the CPC condition has triggered</w:t>
      </w:r>
      <w:r w:rsidR="00ED59AA">
        <w:t xml:space="preserve"> (before</w:t>
      </w:r>
      <w:r w:rsidR="006221E5">
        <w:t>, during or slightly after random access)</w:t>
      </w:r>
      <w:r>
        <w:t>.</w:t>
      </w:r>
      <w:r w:rsidR="00242EC2">
        <w:t xml:space="preserve"> It has been clarified that this is the case treated in the email discussion </w:t>
      </w:r>
      <w:r w:rsidR="0089243E">
        <w:t>[</w:t>
      </w:r>
      <w:r w:rsidR="00EB7F69">
        <w:t>108</w:t>
      </w:r>
      <w:r w:rsidR="00242EC2">
        <w:t>#</w:t>
      </w:r>
      <w:r w:rsidR="00EB7F69">
        <w:t>6</w:t>
      </w:r>
      <w:r w:rsidR="00EB6A89">
        <w:t>7</w:t>
      </w:r>
      <w:r w:rsidR="0089243E">
        <w:t>]</w:t>
      </w:r>
      <w:r w:rsidR="00EB6A89">
        <w:t xml:space="preserve"> </w:t>
      </w:r>
      <w:r w:rsidR="00EB6A89">
        <w:fldChar w:fldCharType="begin"/>
      </w:r>
      <w:r w:rsidR="00EB6A89">
        <w:instrText xml:space="preserve"> REF _Ref31103287 \r \h </w:instrText>
      </w:r>
      <w:r w:rsidR="00EB6A89">
        <w:fldChar w:fldCharType="separate"/>
      </w:r>
      <w:r w:rsidR="00EB6A89">
        <w:t>[1]</w:t>
      </w:r>
      <w:r w:rsidR="00EB6A89">
        <w:fldChar w:fldCharType="end"/>
      </w:r>
      <w:r w:rsidR="00242EC2">
        <w:t>.</w:t>
      </w:r>
    </w:p>
    <w:p w14:paraId="44CC34D9" w14:textId="58C05164" w:rsidR="0092143D" w:rsidRDefault="00190E22" w:rsidP="00466334">
      <w:r>
        <w:object w:dxaOrig="14016" w:dyaOrig="8232" w14:anchorId="03EB41EC">
          <v:shape id="_x0000_i1027" type="#_x0000_t75" style="width:417.5pt;height:243.5pt" o:ole="">
            <v:imagedata r:id="rId17" o:title=""/>
          </v:shape>
          <o:OLEObject Type="Embed" ProgID="Mscgen.Chart" ShapeID="_x0000_i1027" DrawAspect="Content" ObjectID="_1643171389" r:id="rId18"/>
        </w:object>
      </w:r>
    </w:p>
    <w:p w14:paraId="3A29D883" w14:textId="340CC3F3" w:rsidR="006221E5" w:rsidRDefault="006221E5" w:rsidP="00466334">
      <w:r>
        <w:t xml:space="preserve">We believe that this case is not any different from the legacy </w:t>
      </w:r>
      <w:proofErr w:type="spellStart"/>
      <w:r>
        <w:t>PSCell</w:t>
      </w:r>
      <w:proofErr w:type="spellEnd"/>
      <w:r>
        <w:t xml:space="preserve"> change and thereby does not need any further specification.</w:t>
      </w:r>
    </w:p>
    <w:p w14:paraId="09132596" w14:textId="1533229A" w:rsidR="000C43D9" w:rsidRDefault="000D0CC5" w:rsidP="000C43D9">
      <w:pPr>
        <w:rPr>
          <w:b/>
        </w:rPr>
      </w:pPr>
      <w:r>
        <w:rPr>
          <w:b/>
        </w:rPr>
        <w:t>Proposal</w:t>
      </w:r>
      <w:r w:rsidR="000C43D9" w:rsidRPr="00A733FF">
        <w:rPr>
          <w:b/>
        </w:rPr>
        <w:t xml:space="preserve"> </w:t>
      </w:r>
      <w:r>
        <w:rPr>
          <w:b/>
        </w:rPr>
        <w:t>1</w:t>
      </w:r>
      <w:r w:rsidR="000C43D9" w:rsidRPr="00A733FF">
        <w:rPr>
          <w:b/>
        </w:rPr>
        <w:t xml:space="preserve">: </w:t>
      </w:r>
      <w:r w:rsidR="000C43D9">
        <w:rPr>
          <w:b/>
        </w:rPr>
        <w:t>If a</w:t>
      </w:r>
      <w:r w:rsidR="00DD7E81">
        <w:rPr>
          <w:b/>
        </w:rPr>
        <w:t>n</w:t>
      </w:r>
      <w:r w:rsidR="000C43D9">
        <w:rPr>
          <w:b/>
        </w:rPr>
        <w:t xml:space="preserve"> MN reconfiguration is received during a CPC execution (i.e. after a condition has expired), the behaviour shall follow the legacy principle</w:t>
      </w:r>
      <w:r>
        <w:rPr>
          <w:b/>
        </w:rPr>
        <w:t>.</w:t>
      </w:r>
    </w:p>
    <w:p w14:paraId="627C58B9" w14:textId="3408B878" w:rsidR="007D0A7F" w:rsidRDefault="007D0A7F" w:rsidP="007D0A7F">
      <w:pPr>
        <w:pStyle w:val="Heading2"/>
      </w:pPr>
      <w:r>
        <w:t>3</w:t>
      </w:r>
      <w:r w:rsidRPr="006E13D1">
        <w:t>.</w:t>
      </w:r>
      <w:r>
        <w:t>2</w:t>
      </w:r>
      <w:r w:rsidRPr="006E13D1">
        <w:tab/>
      </w:r>
      <w:r>
        <w:t xml:space="preserve">MN Reconfiguration </w:t>
      </w:r>
      <w:r w:rsidRPr="00DD7E81">
        <w:rPr>
          <w:u w:val="single"/>
        </w:rPr>
        <w:t>before</w:t>
      </w:r>
      <w:r>
        <w:t xml:space="preserve"> CPC condition triggers</w:t>
      </w:r>
    </w:p>
    <w:p w14:paraId="013C2097" w14:textId="49DDE745" w:rsidR="006221E5" w:rsidRDefault="006221E5" w:rsidP="00466334">
      <w:r>
        <w:t xml:space="preserve">However, in contrast to legacy </w:t>
      </w:r>
      <w:proofErr w:type="spellStart"/>
      <w:r>
        <w:t>PSCell</w:t>
      </w:r>
      <w:proofErr w:type="spellEnd"/>
      <w:r>
        <w:t xml:space="preserve"> change, an MN reconfiguration can also be received </w:t>
      </w:r>
      <w:r w:rsidR="007D0A7F">
        <w:t xml:space="preserve">after CPC was configured, but (long) </w:t>
      </w:r>
      <w:r>
        <w:t>BEFORE the actual CPC is executed, i.e. BEFORE the CPC condition triggers. This is shown in the next figure.</w:t>
      </w:r>
    </w:p>
    <w:p w14:paraId="11FC165E" w14:textId="7A9B15CE" w:rsidR="006221E5" w:rsidRDefault="00190E22" w:rsidP="00466334">
      <w:r>
        <w:object w:dxaOrig="14016" w:dyaOrig="8232" w14:anchorId="5F9EDC4D">
          <v:shape id="_x0000_i1028" type="#_x0000_t75" style="width:417.5pt;height:243.5pt" o:ole="">
            <v:imagedata r:id="rId19" o:title=""/>
          </v:shape>
          <o:OLEObject Type="Embed" ProgID="Mscgen.Chart" ShapeID="_x0000_i1028" DrawAspect="Content" ObjectID="_1643171390" r:id="rId20"/>
        </w:object>
      </w:r>
    </w:p>
    <w:p w14:paraId="13A48E01" w14:textId="28A1FF58" w:rsidR="006221E5" w:rsidRDefault="006221E5" w:rsidP="00466334">
      <w:r>
        <w:t>In this case, we don’t believe that the execution of the MN reconfiguration</w:t>
      </w:r>
      <w:r w:rsidR="000C43D9">
        <w:t xml:space="preserve"> should be postponed until the CPC has</w:t>
      </w:r>
      <w:r w:rsidR="000D0CC5">
        <w:t xml:space="preserve"> been</w:t>
      </w:r>
      <w:r w:rsidR="000C43D9">
        <w:t xml:space="preserve"> executed and completed. There could be an uncertain time until the CPC execution, during which the reconfiguration is likely to get outdated. Even worse, for a</w:t>
      </w:r>
      <w:r w:rsidR="00DD7E81">
        <w:t>n</w:t>
      </w:r>
      <w:r w:rsidR="000C43D9">
        <w:t xml:space="preserve"> MN handover, the MN would stop transmitting to/from the UE, and the postponing is likely to end up in a radio link failure.</w:t>
      </w:r>
    </w:p>
    <w:p w14:paraId="0FDC413A" w14:textId="69CDAE01" w:rsidR="000C43D9" w:rsidRDefault="000C43D9" w:rsidP="00466334">
      <w:r>
        <w:lastRenderedPageBreak/>
        <w:t>Hence, in such a case, it seems more logical that the UE decodes and execute</w:t>
      </w:r>
      <w:r w:rsidR="00DD7E81">
        <w:t>s</w:t>
      </w:r>
      <w:r>
        <w:t xml:space="preserve"> the MN reconfiguration, even if it has to release the pending CPC configurations. </w:t>
      </w:r>
    </w:p>
    <w:p w14:paraId="37E9AF8D" w14:textId="129950CE" w:rsidR="000C43D9" w:rsidRDefault="0020413F" w:rsidP="000C43D9">
      <w:pPr>
        <w:rPr>
          <w:b/>
        </w:rPr>
      </w:pPr>
      <w:r>
        <w:rPr>
          <w:b/>
        </w:rPr>
        <w:t>Proposal</w:t>
      </w:r>
      <w:r w:rsidRPr="00A733FF">
        <w:rPr>
          <w:b/>
        </w:rPr>
        <w:t xml:space="preserve"> </w:t>
      </w:r>
      <w:r>
        <w:rPr>
          <w:b/>
        </w:rPr>
        <w:t>2</w:t>
      </w:r>
      <w:r w:rsidR="000C43D9" w:rsidRPr="00A733FF">
        <w:rPr>
          <w:b/>
        </w:rPr>
        <w:t xml:space="preserve">: </w:t>
      </w:r>
      <w:r w:rsidR="000C43D9">
        <w:rPr>
          <w:b/>
        </w:rPr>
        <w:t>If a</w:t>
      </w:r>
      <w:r w:rsidR="00DD7E81">
        <w:rPr>
          <w:b/>
        </w:rPr>
        <w:t>n</w:t>
      </w:r>
      <w:r w:rsidR="000C43D9">
        <w:rPr>
          <w:b/>
        </w:rPr>
        <w:t xml:space="preserve"> MN reconfiguration is received before CPC execution (but after CPC was configured), the UE shall decode and execute the MN reconfiguration.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160645F9" w:rsidR="00A209D6" w:rsidRPr="006E13D1" w:rsidRDefault="005F0B1A" w:rsidP="00A209D6">
      <w:r>
        <w:t>This paper elaborated on MN-initiated reconfigurations in the presence of SN-initiated CPC. We made the following observations and proposals:</w:t>
      </w:r>
    </w:p>
    <w:p w14:paraId="19558A4D" w14:textId="77777777" w:rsidR="007115D4" w:rsidRPr="00A733FF" w:rsidRDefault="007115D4" w:rsidP="007115D4">
      <w:pPr>
        <w:rPr>
          <w:b/>
          <w:bCs/>
        </w:rPr>
      </w:pPr>
      <w:r w:rsidRPr="3CE7D40C">
        <w:rPr>
          <w:b/>
          <w:bCs/>
        </w:rPr>
        <w:t xml:space="preserve">Observation 1: An MN-initiated Reconfiguration received during execution of a </w:t>
      </w:r>
      <w:proofErr w:type="spellStart"/>
      <w:r w:rsidRPr="3CE7D40C">
        <w:rPr>
          <w:b/>
          <w:bCs/>
        </w:rPr>
        <w:t>PSCell</w:t>
      </w:r>
      <w:proofErr w:type="spellEnd"/>
      <w:r w:rsidRPr="3CE7D40C">
        <w:rPr>
          <w:b/>
          <w:bCs/>
        </w:rPr>
        <w:t xml:space="preserve"> change will likely be executed only after completion of the </w:t>
      </w:r>
      <w:proofErr w:type="spellStart"/>
      <w:r w:rsidRPr="3CE7D40C">
        <w:rPr>
          <w:b/>
          <w:bCs/>
        </w:rPr>
        <w:t>PSCell</w:t>
      </w:r>
      <w:proofErr w:type="spellEnd"/>
      <w:r w:rsidRPr="3CE7D40C">
        <w:rPr>
          <w:b/>
          <w:bCs/>
        </w:rPr>
        <w:t xml:space="preserve"> change.</w:t>
      </w:r>
    </w:p>
    <w:p w14:paraId="1CA653C6" w14:textId="1EBDACA7" w:rsidR="007115D4" w:rsidRDefault="007115D4" w:rsidP="007115D4">
      <w:pPr>
        <w:rPr>
          <w:b/>
        </w:rPr>
      </w:pPr>
      <w:r>
        <w:rPr>
          <w:b/>
        </w:rPr>
        <w:t>Proposal</w:t>
      </w:r>
      <w:r w:rsidRPr="00A733FF">
        <w:rPr>
          <w:b/>
        </w:rPr>
        <w:t xml:space="preserve"> </w:t>
      </w:r>
      <w:r>
        <w:rPr>
          <w:b/>
        </w:rPr>
        <w:t>1</w:t>
      </w:r>
      <w:r w:rsidRPr="00A733FF">
        <w:rPr>
          <w:b/>
        </w:rPr>
        <w:t xml:space="preserve">: </w:t>
      </w:r>
      <w:r>
        <w:rPr>
          <w:b/>
        </w:rPr>
        <w:t>If a</w:t>
      </w:r>
      <w:r w:rsidR="00DD7E81">
        <w:rPr>
          <w:b/>
        </w:rPr>
        <w:t>n</w:t>
      </w:r>
      <w:r>
        <w:rPr>
          <w:b/>
        </w:rPr>
        <w:t xml:space="preserve"> MN reconfiguration is received during a CPC execution (i.e. after a condition has expired), the behaviour shall follow the legacy principle.</w:t>
      </w:r>
    </w:p>
    <w:p w14:paraId="60449C3F" w14:textId="6D9556E3" w:rsidR="00A209D6" w:rsidRPr="00CD6AA9" w:rsidRDefault="007115D4" w:rsidP="00A209D6">
      <w:pPr>
        <w:rPr>
          <w:b/>
        </w:rPr>
      </w:pPr>
      <w:r>
        <w:rPr>
          <w:b/>
        </w:rPr>
        <w:t>Proposal</w:t>
      </w:r>
      <w:r w:rsidRPr="00A733FF">
        <w:rPr>
          <w:b/>
        </w:rPr>
        <w:t xml:space="preserve"> </w:t>
      </w:r>
      <w:r>
        <w:rPr>
          <w:b/>
        </w:rPr>
        <w:t>2</w:t>
      </w:r>
      <w:r w:rsidRPr="00A733FF">
        <w:rPr>
          <w:b/>
        </w:rPr>
        <w:t xml:space="preserve">: </w:t>
      </w:r>
      <w:r>
        <w:rPr>
          <w:b/>
        </w:rPr>
        <w:t>If a</w:t>
      </w:r>
      <w:r w:rsidR="00DD7E81">
        <w:rPr>
          <w:b/>
        </w:rPr>
        <w:t>n</w:t>
      </w:r>
      <w:r>
        <w:rPr>
          <w:b/>
        </w:rPr>
        <w:t xml:space="preserve"> MN reconfiguration is received before CPC execution (but after CPC was configured), the UE shall decode and execute the MN reconfiguration.</w:t>
      </w:r>
    </w:p>
    <w:p w14:paraId="21FE3F35" w14:textId="6A357E2D" w:rsidR="00411A74" w:rsidRDefault="00411A74">
      <w:pPr>
        <w:pStyle w:val="Heading1"/>
      </w:pPr>
      <w:r>
        <w:t>References</w:t>
      </w:r>
    </w:p>
    <w:p w14:paraId="3C18EA6B" w14:textId="03C08BFA" w:rsidR="00C91910" w:rsidRPr="00411A74" w:rsidRDefault="00411A74" w:rsidP="00CD6AA9">
      <w:pPr>
        <w:pStyle w:val="ListParagraph"/>
        <w:numPr>
          <w:ilvl w:val="0"/>
          <w:numId w:val="16"/>
        </w:numPr>
      </w:pPr>
      <w:bookmarkStart w:id="1" w:name="_Ref31103287"/>
      <w:r>
        <w:t>R2-20</w:t>
      </w:r>
      <w:r w:rsidR="00CD6AA9">
        <w:t>00900</w:t>
      </w:r>
      <w:r>
        <w:t xml:space="preserve"> </w:t>
      </w:r>
      <w:r w:rsidRPr="00CD6AA9">
        <w:rPr>
          <w:i/>
        </w:rPr>
        <w:t>E-mail discussion report [108#</w:t>
      </w:r>
      <w:proofErr w:type="gramStart"/>
      <w:r w:rsidRPr="00CD6AA9">
        <w:rPr>
          <w:i/>
        </w:rPr>
        <w:t>67][</w:t>
      </w:r>
      <w:proofErr w:type="gramEnd"/>
      <w:r w:rsidRPr="00CD6AA9">
        <w:rPr>
          <w:i/>
        </w:rPr>
        <w:t>NR Mob] Resolving open issues in CPAC and creating TP</w:t>
      </w:r>
      <w:r>
        <w:t xml:space="preserve"> 3GPP TSG-RAN WG2 Meeting #109 Athens, Greece, 24 – 28 February 2020</w:t>
      </w:r>
      <w:bookmarkEnd w:id="1"/>
    </w:p>
    <w:sectPr w:rsidR="00C91910" w:rsidRPr="00411A7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BBCAC" w14:textId="77777777" w:rsidR="00721096" w:rsidRDefault="00721096">
      <w:r>
        <w:separator/>
      </w:r>
    </w:p>
  </w:endnote>
  <w:endnote w:type="continuationSeparator" w:id="0">
    <w:p w14:paraId="2330DBBE" w14:textId="77777777" w:rsidR="00721096" w:rsidRDefault="00721096">
      <w:r>
        <w:continuationSeparator/>
      </w:r>
    </w:p>
  </w:endnote>
  <w:endnote w:type="continuationNotice" w:id="1">
    <w:p w14:paraId="2E34C8D6" w14:textId="77777777" w:rsidR="00721096" w:rsidRDefault="007210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F77E66" w:rsidRDefault="00F77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F77E66" w:rsidRDefault="00F77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F77E66" w:rsidRDefault="00F77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586D7" w14:textId="77777777" w:rsidR="00721096" w:rsidRDefault="00721096">
      <w:r>
        <w:separator/>
      </w:r>
    </w:p>
  </w:footnote>
  <w:footnote w:type="continuationSeparator" w:id="0">
    <w:p w14:paraId="39671643" w14:textId="77777777" w:rsidR="00721096" w:rsidRDefault="00721096">
      <w:r>
        <w:continuationSeparator/>
      </w:r>
    </w:p>
  </w:footnote>
  <w:footnote w:type="continuationNotice" w:id="1">
    <w:p w14:paraId="6D17CB27" w14:textId="77777777" w:rsidR="00721096" w:rsidRDefault="007210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F77E66" w:rsidRDefault="00F77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F77E66" w:rsidRDefault="00F77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F77E66" w:rsidRDefault="00F77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CB7747"/>
    <w:multiLevelType w:val="hybridMultilevel"/>
    <w:tmpl w:val="B58AE4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A5C29"/>
    <w:multiLevelType w:val="hybridMultilevel"/>
    <w:tmpl w:val="BEF656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B44FE"/>
    <w:multiLevelType w:val="hybridMultilevel"/>
    <w:tmpl w:val="EB444D3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9248F9"/>
    <w:multiLevelType w:val="hybridMultilevel"/>
    <w:tmpl w:val="5AB675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064"/>
    <w:multiLevelType w:val="hybridMultilevel"/>
    <w:tmpl w:val="B58AE4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841A80"/>
    <w:multiLevelType w:val="hybridMultilevel"/>
    <w:tmpl w:val="CCB4B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824B9"/>
    <w:multiLevelType w:val="hybridMultilevel"/>
    <w:tmpl w:val="FB78D9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05EAF"/>
    <w:multiLevelType w:val="hybridMultilevel"/>
    <w:tmpl w:val="4DF65B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180EB3"/>
    <w:multiLevelType w:val="hybridMultilevel"/>
    <w:tmpl w:val="50A43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10"/>
  </w:num>
  <w:num w:numId="8">
    <w:abstractNumId w:val="14"/>
  </w:num>
  <w:num w:numId="9">
    <w:abstractNumId w:val="3"/>
  </w:num>
  <w:num w:numId="10">
    <w:abstractNumId w:val="8"/>
  </w:num>
  <w:num w:numId="11">
    <w:abstractNumId w:val="2"/>
  </w:num>
  <w:num w:numId="12">
    <w:abstractNumId w:val="13"/>
  </w:num>
  <w:num w:numId="13">
    <w:abstractNumId w:val="11"/>
  </w:num>
  <w:num w:numId="14">
    <w:abstractNumId w:val="7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1164"/>
    <w:rsid w:val="00033397"/>
    <w:rsid w:val="00040095"/>
    <w:rsid w:val="00043F57"/>
    <w:rsid w:val="000511A2"/>
    <w:rsid w:val="00055AB8"/>
    <w:rsid w:val="00070BE1"/>
    <w:rsid w:val="00073C9C"/>
    <w:rsid w:val="00080512"/>
    <w:rsid w:val="00090468"/>
    <w:rsid w:val="00094568"/>
    <w:rsid w:val="000B7BCF"/>
    <w:rsid w:val="000C43D9"/>
    <w:rsid w:val="000C522B"/>
    <w:rsid w:val="000D0CC5"/>
    <w:rsid w:val="000D3136"/>
    <w:rsid w:val="000D58AB"/>
    <w:rsid w:val="00112F1A"/>
    <w:rsid w:val="001169C7"/>
    <w:rsid w:val="0013609A"/>
    <w:rsid w:val="00145075"/>
    <w:rsid w:val="001642AC"/>
    <w:rsid w:val="00164F63"/>
    <w:rsid w:val="001741A0"/>
    <w:rsid w:val="00175FA0"/>
    <w:rsid w:val="00190E22"/>
    <w:rsid w:val="00194CD0"/>
    <w:rsid w:val="001B49C9"/>
    <w:rsid w:val="001C23F4"/>
    <w:rsid w:val="001C4F79"/>
    <w:rsid w:val="001F10FB"/>
    <w:rsid w:val="001F168B"/>
    <w:rsid w:val="001F357A"/>
    <w:rsid w:val="001F7831"/>
    <w:rsid w:val="00204045"/>
    <w:rsid w:val="0020413F"/>
    <w:rsid w:val="0020712B"/>
    <w:rsid w:val="0022606D"/>
    <w:rsid w:val="00231728"/>
    <w:rsid w:val="00242EC2"/>
    <w:rsid w:val="00250404"/>
    <w:rsid w:val="002610D8"/>
    <w:rsid w:val="00266DDA"/>
    <w:rsid w:val="002747EC"/>
    <w:rsid w:val="002855BF"/>
    <w:rsid w:val="002E1233"/>
    <w:rsid w:val="002F0D22"/>
    <w:rsid w:val="00311B17"/>
    <w:rsid w:val="003172DC"/>
    <w:rsid w:val="00325661"/>
    <w:rsid w:val="00325AE3"/>
    <w:rsid w:val="00326069"/>
    <w:rsid w:val="00334AF6"/>
    <w:rsid w:val="00336524"/>
    <w:rsid w:val="0035462D"/>
    <w:rsid w:val="00364B41"/>
    <w:rsid w:val="00365213"/>
    <w:rsid w:val="00367A15"/>
    <w:rsid w:val="00383096"/>
    <w:rsid w:val="003A41EF"/>
    <w:rsid w:val="003B40AD"/>
    <w:rsid w:val="003C4E37"/>
    <w:rsid w:val="003E16BE"/>
    <w:rsid w:val="003F4E28"/>
    <w:rsid w:val="003F76A5"/>
    <w:rsid w:val="004006E8"/>
    <w:rsid w:val="00401855"/>
    <w:rsid w:val="00411A74"/>
    <w:rsid w:val="004218E9"/>
    <w:rsid w:val="004321BF"/>
    <w:rsid w:val="004547B7"/>
    <w:rsid w:val="00465587"/>
    <w:rsid w:val="00466334"/>
    <w:rsid w:val="00477455"/>
    <w:rsid w:val="004A1F7B"/>
    <w:rsid w:val="004B32C1"/>
    <w:rsid w:val="004B6E5A"/>
    <w:rsid w:val="004C04A7"/>
    <w:rsid w:val="004C44D2"/>
    <w:rsid w:val="004C6928"/>
    <w:rsid w:val="004D3578"/>
    <w:rsid w:val="004D380D"/>
    <w:rsid w:val="004D65B2"/>
    <w:rsid w:val="004E0519"/>
    <w:rsid w:val="004E213A"/>
    <w:rsid w:val="004F7822"/>
    <w:rsid w:val="00501234"/>
    <w:rsid w:val="00503171"/>
    <w:rsid w:val="00506C28"/>
    <w:rsid w:val="005151E3"/>
    <w:rsid w:val="00534DA0"/>
    <w:rsid w:val="00543E6C"/>
    <w:rsid w:val="00565087"/>
    <w:rsid w:val="0056573F"/>
    <w:rsid w:val="005A7BD5"/>
    <w:rsid w:val="005C27CF"/>
    <w:rsid w:val="005D602A"/>
    <w:rsid w:val="005F0B1A"/>
    <w:rsid w:val="00610F8B"/>
    <w:rsid w:val="00611566"/>
    <w:rsid w:val="006221E5"/>
    <w:rsid w:val="0062236A"/>
    <w:rsid w:val="0064012E"/>
    <w:rsid w:val="00646D99"/>
    <w:rsid w:val="00656910"/>
    <w:rsid w:val="006574C0"/>
    <w:rsid w:val="006623A3"/>
    <w:rsid w:val="006719B8"/>
    <w:rsid w:val="00687A30"/>
    <w:rsid w:val="006A20C3"/>
    <w:rsid w:val="006C66D8"/>
    <w:rsid w:val="006D1E24"/>
    <w:rsid w:val="006E1417"/>
    <w:rsid w:val="006F6A2C"/>
    <w:rsid w:val="007069DC"/>
    <w:rsid w:val="00710201"/>
    <w:rsid w:val="007115D4"/>
    <w:rsid w:val="0072073A"/>
    <w:rsid w:val="00721096"/>
    <w:rsid w:val="007342B5"/>
    <w:rsid w:val="00734A5B"/>
    <w:rsid w:val="00744E76"/>
    <w:rsid w:val="0075033B"/>
    <w:rsid w:val="00757D40"/>
    <w:rsid w:val="007662B5"/>
    <w:rsid w:val="00781F0F"/>
    <w:rsid w:val="0078727C"/>
    <w:rsid w:val="0079049D"/>
    <w:rsid w:val="00793DC5"/>
    <w:rsid w:val="007B18D8"/>
    <w:rsid w:val="007B3B9A"/>
    <w:rsid w:val="007C095F"/>
    <w:rsid w:val="007C2DD0"/>
    <w:rsid w:val="007D0A7F"/>
    <w:rsid w:val="007E1964"/>
    <w:rsid w:val="007F2E08"/>
    <w:rsid w:val="007F3B66"/>
    <w:rsid w:val="008028A4"/>
    <w:rsid w:val="00813245"/>
    <w:rsid w:val="00840DE0"/>
    <w:rsid w:val="00843EDE"/>
    <w:rsid w:val="00850701"/>
    <w:rsid w:val="0086354A"/>
    <w:rsid w:val="008768CA"/>
    <w:rsid w:val="00876C68"/>
    <w:rsid w:val="00877EF9"/>
    <w:rsid w:val="00880559"/>
    <w:rsid w:val="00886498"/>
    <w:rsid w:val="00886BCD"/>
    <w:rsid w:val="0089243E"/>
    <w:rsid w:val="008970F9"/>
    <w:rsid w:val="008B5306"/>
    <w:rsid w:val="008C2E2A"/>
    <w:rsid w:val="008C3057"/>
    <w:rsid w:val="008C785E"/>
    <w:rsid w:val="008D2E4D"/>
    <w:rsid w:val="008E22B6"/>
    <w:rsid w:val="008F1F75"/>
    <w:rsid w:val="008F396F"/>
    <w:rsid w:val="008F3DCD"/>
    <w:rsid w:val="0090124E"/>
    <w:rsid w:val="0090271F"/>
    <w:rsid w:val="00902DB9"/>
    <w:rsid w:val="00903670"/>
    <w:rsid w:val="0090466A"/>
    <w:rsid w:val="00912C96"/>
    <w:rsid w:val="0092143D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59FE"/>
    <w:rsid w:val="009A0AF3"/>
    <w:rsid w:val="009B07CD"/>
    <w:rsid w:val="009C19E9"/>
    <w:rsid w:val="009C2331"/>
    <w:rsid w:val="009D74A6"/>
    <w:rsid w:val="00A04ED4"/>
    <w:rsid w:val="00A10024"/>
    <w:rsid w:val="00A10F02"/>
    <w:rsid w:val="00A12ED3"/>
    <w:rsid w:val="00A204CA"/>
    <w:rsid w:val="00A209D6"/>
    <w:rsid w:val="00A23486"/>
    <w:rsid w:val="00A339DB"/>
    <w:rsid w:val="00A53724"/>
    <w:rsid w:val="00A54B2B"/>
    <w:rsid w:val="00A733FF"/>
    <w:rsid w:val="00A82346"/>
    <w:rsid w:val="00A9671C"/>
    <w:rsid w:val="00AA1553"/>
    <w:rsid w:val="00AB58A8"/>
    <w:rsid w:val="00AC1D56"/>
    <w:rsid w:val="00AC49D0"/>
    <w:rsid w:val="00B05380"/>
    <w:rsid w:val="00B05962"/>
    <w:rsid w:val="00B15449"/>
    <w:rsid w:val="00B16C2F"/>
    <w:rsid w:val="00B25910"/>
    <w:rsid w:val="00B27303"/>
    <w:rsid w:val="00B30804"/>
    <w:rsid w:val="00B47FD1"/>
    <w:rsid w:val="00B516BB"/>
    <w:rsid w:val="00B6030B"/>
    <w:rsid w:val="00B60AAE"/>
    <w:rsid w:val="00B63AFB"/>
    <w:rsid w:val="00B84CC0"/>
    <w:rsid w:val="00B84DB2"/>
    <w:rsid w:val="00B96547"/>
    <w:rsid w:val="00BA6F9C"/>
    <w:rsid w:val="00BC3555"/>
    <w:rsid w:val="00BE304A"/>
    <w:rsid w:val="00BF08A9"/>
    <w:rsid w:val="00C12B51"/>
    <w:rsid w:val="00C240CA"/>
    <w:rsid w:val="00C24650"/>
    <w:rsid w:val="00C25465"/>
    <w:rsid w:val="00C25D7E"/>
    <w:rsid w:val="00C33079"/>
    <w:rsid w:val="00C83A13"/>
    <w:rsid w:val="00C9068C"/>
    <w:rsid w:val="00C91910"/>
    <w:rsid w:val="00C92967"/>
    <w:rsid w:val="00CA3D0C"/>
    <w:rsid w:val="00CA654B"/>
    <w:rsid w:val="00CB28BD"/>
    <w:rsid w:val="00CB36FA"/>
    <w:rsid w:val="00CB72B8"/>
    <w:rsid w:val="00CC22FD"/>
    <w:rsid w:val="00CD4C7B"/>
    <w:rsid w:val="00CD58FE"/>
    <w:rsid w:val="00CD6AA9"/>
    <w:rsid w:val="00D05555"/>
    <w:rsid w:val="00D33BE3"/>
    <w:rsid w:val="00D3792D"/>
    <w:rsid w:val="00D4003F"/>
    <w:rsid w:val="00D55E47"/>
    <w:rsid w:val="00D62E19"/>
    <w:rsid w:val="00D67CD1"/>
    <w:rsid w:val="00D67D64"/>
    <w:rsid w:val="00D738D6"/>
    <w:rsid w:val="00D805D3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7E81"/>
    <w:rsid w:val="00DE25D2"/>
    <w:rsid w:val="00E43044"/>
    <w:rsid w:val="00E46C08"/>
    <w:rsid w:val="00E471CF"/>
    <w:rsid w:val="00E62835"/>
    <w:rsid w:val="00E77645"/>
    <w:rsid w:val="00E83697"/>
    <w:rsid w:val="00EA66C9"/>
    <w:rsid w:val="00EB6A89"/>
    <w:rsid w:val="00EB7F69"/>
    <w:rsid w:val="00EC4A25"/>
    <w:rsid w:val="00EC4A3D"/>
    <w:rsid w:val="00ED59AA"/>
    <w:rsid w:val="00EE54AF"/>
    <w:rsid w:val="00F025A2"/>
    <w:rsid w:val="00F036E9"/>
    <w:rsid w:val="00F0610A"/>
    <w:rsid w:val="00F07388"/>
    <w:rsid w:val="00F2026E"/>
    <w:rsid w:val="00F2210A"/>
    <w:rsid w:val="00F3750E"/>
    <w:rsid w:val="00F37743"/>
    <w:rsid w:val="00F54A3D"/>
    <w:rsid w:val="00F54CB0"/>
    <w:rsid w:val="00F55FC2"/>
    <w:rsid w:val="00F579CD"/>
    <w:rsid w:val="00F62E3B"/>
    <w:rsid w:val="00F653B8"/>
    <w:rsid w:val="00F67316"/>
    <w:rsid w:val="00F71B89"/>
    <w:rsid w:val="00F7353C"/>
    <w:rsid w:val="00F76F8F"/>
    <w:rsid w:val="00F77E66"/>
    <w:rsid w:val="00F77F74"/>
    <w:rsid w:val="00F87251"/>
    <w:rsid w:val="00F941DF"/>
    <w:rsid w:val="00FA1266"/>
    <w:rsid w:val="00FB36FA"/>
    <w:rsid w:val="00FC1192"/>
    <w:rsid w:val="00FD2CF3"/>
    <w:rsid w:val="00FE251B"/>
    <w:rsid w:val="00FF5008"/>
    <w:rsid w:val="2A0F1728"/>
    <w:rsid w:val="3CE7D40C"/>
    <w:rsid w:val="5AA1C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68FC514D-429C-4538-A7EB-71C5A5F0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BE304A"/>
    <w:rPr>
      <w:lang w:eastAsia="en-US"/>
    </w:rPr>
  </w:style>
  <w:style w:type="character" w:customStyle="1" w:styleId="THChar">
    <w:name w:val="TH Char"/>
    <w:link w:val="TH"/>
    <w:qFormat/>
    <w:rsid w:val="00BE304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BE304A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0511A2"/>
    <w:pPr>
      <w:ind w:left="720"/>
      <w:contextualSpacing/>
    </w:pPr>
  </w:style>
  <w:style w:type="character" w:styleId="CommentReference">
    <w:name w:val="annotation reference"/>
    <w:basedOn w:val="DefaultParagraphFont"/>
    <w:rsid w:val="00EE54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54AF"/>
  </w:style>
  <w:style w:type="character" w:customStyle="1" w:styleId="CommentTextChar">
    <w:name w:val="Comment Text Char"/>
    <w:basedOn w:val="DefaultParagraphFont"/>
    <w:link w:val="CommentText"/>
    <w:rsid w:val="00EE54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5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54AF"/>
    <w:rPr>
      <w:b/>
      <w:bCs/>
      <w:lang w:eastAsia="en-US"/>
    </w:rPr>
  </w:style>
  <w:style w:type="table" w:styleId="TableGrid">
    <w:name w:val="Table Grid"/>
    <w:basedOn w:val="TableNormal"/>
    <w:uiPriority w:val="59"/>
    <w:rsid w:val="004B6E5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5AIRPNAIUNRU-859666464-5981</_dlc_DocId>
    <_dlc_DocIdUrl xmlns="71c5aaf6-e6ce-465b-b873-5148d2a4c105">
      <Url>https://nokia.sharepoint.com/sites/c5g/e2earch/_layouts/15/DocIdRedir.aspx?ID=5AIRPNAIUNRU-859666464-5981</Url>
      <Description>5AIRPNAIUNRU-859666464-5981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76EBF-90CE-4E12-8E62-18AECB00F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5420FB-EEB9-4635-B9B0-05F2BE4B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</TotalTime>
  <Pages>1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Stanczak, Jedrzej (Nokia - PL/Wroclaw)</cp:lastModifiedBy>
  <cp:revision>40</cp:revision>
  <dcterms:created xsi:type="dcterms:W3CDTF">2020-01-13T15:50:00Z</dcterms:created>
  <dcterms:modified xsi:type="dcterms:W3CDTF">2020-02-14T06:43:00Z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7c74fc98-1fbc-437e-a770-8a25f0e61fd1</vt:lpwstr>
  </property>
</Properties>
</file>